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textAlignment w:val="baseline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附件2</w:t>
      </w:r>
    </w:p>
    <w:p>
      <w:pPr>
        <w:widowControl/>
        <w:shd w:val="clear" w:color="auto" w:fill="FFFFFF"/>
        <w:spacing w:line="60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拟认定的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庆阳市“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科技企业孵化器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2065" w:tblpY="890"/>
        <w:tblOverlap w:val="never"/>
        <w:tblW w:w="130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125"/>
        <w:gridCol w:w="5590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“孵化器”名称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运营管理主体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环县电子商务企业孵化中心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甘肃慧联信息科技发展有限责任公司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王雪莲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4E80"/>
    <w:rsid w:val="03DB4E80"/>
    <w:rsid w:val="1D931E45"/>
    <w:rsid w:val="1F2F505F"/>
    <w:rsid w:val="365927E9"/>
    <w:rsid w:val="3ED30355"/>
    <w:rsid w:val="4FC7321D"/>
    <w:rsid w:val="541438E5"/>
    <w:rsid w:val="66BC4E21"/>
    <w:rsid w:val="7891354E"/>
    <w:rsid w:val="79A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hint="eastAsia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2020-10-19T03:12:00Z</dcterms:created>
  <dc:creator>24\7</dc:creator>
  <cp:lastModifiedBy>24\7</cp:lastModifiedBy>
  <cp:lastPrinted>2020-10-28T09:39:15Z</cp:lastPrinted>
  <dcterms:modified xsi:type="dcterms:W3CDTF">2020-10-28T09:47:41Z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